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D0" w:rsidRPr="00A67E56" w:rsidRDefault="00D260A5" w:rsidP="002F5D66">
      <w:pPr>
        <w:spacing w:after="0" w:line="360" w:lineRule="auto"/>
        <w:jc w:val="center"/>
        <w:rPr>
          <w:rFonts w:ascii="Arial" w:hAnsi="Arial" w:cs="Arial"/>
          <w:b/>
          <w:color w:val="000000"/>
          <w:szCs w:val="20"/>
          <w:lang w:val="en-GB"/>
        </w:rPr>
      </w:pPr>
      <w:r w:rsidRPr="00A67E56">
        <w:rPr>
          <w:rFonts w:ascii="Arial" w:hAnsi="Arial" w:cs="Arial"/>
          <w:b/>
          <w:color w:val="000000"/>
          <w:szCs w:val="20"/>
          <w:lang w:val="en-GB"/>
        </w:rPr>
        <w:t>The Mindful Eating Behavio</w:t>
      </w:r>
      <w:r w:rsidR="002F5D66" w:rsidRPr="00A67E56">
        <w:rPr>
          <w:rFonts w:ascii="Arial" w:hAnsi="Arial" w:cs="Arial"/>
          <w:b/>
          <w:color w:val="000000"/>
          <w:szCs w:val="20"/>
          <w:lang w:val="en-GB"/>
        </w:rPr>
        <w:t>r Scale: Development and psychometric properties in a sample of Dutch adults aged 55 years and older</w:t>
      </w:r>
    </w:p>
    <w:p w:rsidR="008C04E1" w:rsidRPr="00A67E56" w:rsidRDefault="008C04E1" w:rsidP="00265381">
      <w:pPr>
        <w:spacing w:after="0" w:line="360" w:lineRule="auto"/>
        <w:rPr>
          <w:rFonts w:ascii="Arial" w:hAnsi="Arial" w:cs="Arial"/>
          <w:sz w:val="20"/>
          <w:szCs w:val="20"/>
          <w:shd w:val="clear" w:color="auto" w:fill="FFFFFF"/>
          <w:lang w:val="en-GB"/>
        </w:rPr>
      </w:pPr>
    </w:p>
    <w:p w:rsidR="00D354D0" w:rsidRPr="00D260A5" w:rsidRDefault="00D354D0" w:rsidP="00265381">
      <w:pPr>
        <w:spacing w:after="0" w:line="360" w:lineRule="auto"/>
        <w:rPr>
          <w:rFonts w:ascii="Arial" w:hAnsi="Arial" w:cs="Arial"/>
          <w:sz w:val="20"/>
          <w:szCs w:val="20"/>
          <w:shd w:val="clear" w:color="auto" w:fill="FFFFFF"/>
          <w:lang w:val="en-GB"/>
        </w:rPr>
      </w:pPr>
      <w:r w:rsidRPr="007D1BB4">
        <w:rPr>
          <w:rFonts w:ascii="Arial" w:hAnsi="Arial" w:cs="Arial"/>
          <w:sz w:val="20"/>
          <w:szCs w:val="20"/>
          <w:shd w:val="clear" w:color="auto" w:fill="FFFFFF"/>
        </w:rPr>
        <w:t>Winkens, L. H. H., van Strien</w:t>
      </w:r>
      <w:bookmarkStart w:id="0" w:name="_GoBack"/>
      <w:bookmarkEnd w:id="0"/>
      <w:r w:rsidRPr="007D1BB4">
        <w:rPr>
          <w:rFonts w:ascii="Arial" w:hAnsi="Arial" w:cs="Arial"/>
          <w:sz w:val="20"/>
          <w:szCs w:val="20"/>
          <w:shd w:val="clear" w:color="auto" w:fill="FFFFFF"/>
        </w:rPr>
        <w:t xml:space="preserve">, T., </w:t>
      </w:r>
      <w:r w:rsidR="0088000E">
        <w:rPr>
          <w:rFonts w:ascii="Arial" w:hAnsi="Arial" w:cs="Arial"/>
          <w:sz w:val="20"/>
          <w:szCs w:val="20"/>
          <w:shd w:val="clear" w:color="auto" w:fill="FFFFFF"/>
        </w:rPr>
        <w:t xml:space="preserve">Barrada, J. R., </w:t>
      </w:r>
      <w:r w:rsidRPr="007D1BB4">
        <w:rPr>
          <w:rFonts w:ascii="Arial" w:hAnsi="Arial" w:cs="Arial"/>
          <w:sz w:val="20"/>
          <w:szCs w:val="20"/>
          <w:shd w:val="clear" w:color="auto" w:fill="FFFFFF"/>
        </w:rPr>
        <w:t xml:space="preserve">Brouwer, I. A., Penninx, B. W. J. H., </w:t>
      </w:r>
      <w:r w:rsidR="0088000E">
        <w:rPr>
          <w:rFonts w:ascii="Arial" w:hAnsi="Arial" w:cs="Arial"/>
          <w:sz w:val="20"/>
          <w:szCs w:val="20"/>
          <w:shd w:val="clear" w:color="auto" w:fill="FFFFFF"/>
        </w:rPr>
        <w:t>&amp; Visser, M.</w:t>
      </w:r>
      <w:r w:rsidRPr="007D1BB4">
        <w:rPr>
          <w:rFonts w:ascii="Arial" w:hAnsi="Arial" w:cs="Arial"/>
          <w:sz w:val="20"/>
          <w:szCs w:val="20"/>
          <w:shd w:val="clear" w:color="auto" w:fill="FFFFFF"/>
        </w:rPr>
        <w:t xml:space="preserve"> (</w:t>
      </w:r>
      <w:r w:rsidRPr="00DC55E8">
        <w:rPr>
          <w:rFonts w:ascii="Arial" w:hAnsi="Arial" w:cs="Arial"/>
          <w:sz w:val="20"/>
          <w:szCs w:val="20"/>
          <w:shd w:val="clear" w:color="auto" w:fill="FFFFFF"/>
        </w:rPr>
        <w:t>2018).</w:t>
      </w:r>
      <w:r w:rsidR="00265381" w:rsidRPr="00DC55E8">
        <w:rPr>
          <w:rFonts w:ascii="Arial" w:hAnsi="Arial" w:cs="Arial"/>
          <w:sz w:val="20"/>
          <w:szCs w:val="20"/>
          <w:shd w:val="clear" w:color="auto" w:fill="FFFFFF"/>
        </w:rPr>
        <w:t xml:space="preserve"> </w:t>
      </w:r>
      <w:r w:rsidR="00265381" w:rsidRPr="00DC55E8">
        <w:rPr>
          <w:rFonts w:ascii="Arial" w:hAnsi="Arial" w:cs="Arial"/>
          <w:sz w:val="20"/>
          <w:szCs w:val="20"/>
          <w:shd w:val="clear" w:color="auto" w:fill="FFFFFF"/>
          <w:lang w:val="en-GB"/>
        </w:rPr>
        <w:t>The Mindful Eating Behavior Scale: Development and psychometric properties in a sample of Dutch adults aged 55 years and older</w:t>
      </w:r>
      <w:r w:rsidRPr="00DC55E8">
        <w:rPr>
          <w:rFonts w:ascii="Arial" w:hAnsi="Arial" w:cs="Arial"/>
          <w:sz w:val="20"/>
          <w:szCs w:val="20"/>
          <w:shd w:val="clear" w:color="auto" w:fill="FFFFFF"/>
          <w:lang w:val="en-GB"/>
        </w:rPr>
        <w:t>. </w:t>
      </w:r>
      <w:r w:rsidRPr="00DC55E8">
        <w:rPr>
          <w:rFonts w:ascii="Arial" w:hAnsi="Arial" w:cs="Arial"/>
          <w:i/>
          <w:iCs/>
          <w:sz w:val="20"/>
          <w:szCs w:val="20"/>
          <w:shd w:val="clear" w:color="auto" w:fill="FFFFFF"/>
          <w:lang w:val="en-GB"/>
        </w:rPr>
        <w:t xml:space="preserve">Journal of </w:t>
      </w:r>
      <w:r w:rsidR="00265381" w:rsidRPr="00DC55E8">
        <w:rPr>
          <w:rFonts w:ascii="Arial" w:hAnsi="Arial" w:cs="Arial"/>
          <w:i/>
          <w:iCs/>
          <w:sz w:val="20"/>
          <w:szCs w:val="20"/>
          <w:shd w:val="clear" w:color="auto" w:fill="FFFFFF"/>
          <w:lang w:val="en-GB"/>
        </w:rPr>
        <w:t>the Academy of Nutrition and Dietetics</w:t>
      </w:r>
      <w:r w:rsidRPr="00DC55E8">
        <w:rPr>
          <w:rFonts w:ascii="Arial" w:hAnsi="Arial" w:cs="Arial"/>
          <w:sz w:val="20"/>
          <w:szCs w:val="20"/>
          <w:shd w:val="clear" w:color="auto" w:fill="FFFFFF"/>
          <w:lang w:val="en-GB"/>
        </w:rPr>
        <w:t>, </w:t>
      </w:r>
      <w:r w:rsidR="00DC55E8" w:rsidRPr="00DC55E8">
        <w:rPr>
          <w:rFonts w:ascii="Arial" w:hAnsi="Arial" w:cs="Arial"/>
          <w:i/>
          <w:sz w:val="20"/>
          <w:szCs w:val="20"/>
          <w:shd w:val="clear" w:color="auto" w:fill="FFFFFF"/>
          <w:lang w:val="en-GB"/>
        </w:rPr>
        <w:t>11</w:t>
      </w:r>
      <w:r w:rsidRPr="00DC55E8">
        <w:rPr>
          <w:rFonts w:ascii="Arial" w:hAnsi="Arial" w:cs="Arial"/>
          <w:i/>
          <w:iCs/>
          <w:sz w:val="20"/>
          <w:szCs w:val="20"/>
          <w:shd w:val="clear" w:color="auto" w:fill="FFFFFF"/>
          <w:lang w:val="en-GB"/>
        </w:rPr>
        <w:t>8</w:t>
      </w:r>
      <w:r w:rsidR="00DC55E8" w:rsidRPr="00DC55E8">
        <w:rPr>
          <w:rFonts w:ascii="Arial" w:hAnsi="Arial" w:cs="Arial"/>
          <w:iCs/>
          <w:sz w:val="20"/>
          <w:szCs w:val="20"/>
          <w:shd w:val="clear" w:color="auto" w:fill="FFFFFF"/>
          <w:lang w:val="en-GB"/>
        </w:rPr>
        <w:t>(7)</w:t>
      </w:r>
      <w:r w:rsidRPr="00DC55E8">
        <w:rPr>
          <w:rFonts w:ascii="Arial" w:hAnsi="Arial" w:cs="Arial"/>
          <w:sz w:val="20"/>
          <w:szCs w:val="20"/>
          <w:shd w:val="clear" w:color="auto" w:fill="FFFFFF"/>
          <w:lang w:val="en-GB"/>
        </w:rPr>
        <w:t xml:space="preserve">, </w:t>
      </w:r>
      <w:r w:rsidR="00DC55E8" w:rsidRPr="00DC55E8">
        <w:rPr>
          <w:rFonts w:ascii="Arial" w:hAnsi="Arial" w:cs="Arial"/>
          <w:sz w:val="20"/>
          <w:szCs w:val="20"/>
          <w:shd w:val="clear" w:color="auto" w:fill="FFFFFF"/>
          <w:lang w:val="en-GB"/>
        </w:rPr>
        <w:t>1277-1290.e4</w:t>
      </w:r>
      <w:r w:rsidRPr="00DC55E8">
        <w:rPr>
          <w:rFonts w:ascii="Arial" w:hAnsi="Arial" w:cs="Arial"/>
          <w:sz w:val="20"/>
          <w:szCs w:val="20"/>
          <w:shd w:val="clear" w:color="auto" w:fill="FFFFFF"/>
          <w:lang w:val="en-GB"/>
        </w:rPr>
        <w:t>.</w:t>
      </w:r>
    </w:p>
    <w:p w:rsidR="00F86B60" w:rsidRDefault="00F86B60" w:rsidP="00F86B60">
      <w:pPr>
        <w:spacing w:line="360" w:lineRule="auto"/>
        <w:jc w:val="center"/>
        <w:rPr>
          <w:rFonts w:ascii="Arial" w:hAnsi="Arial" w:cs="Arial"/>
          <w:b/>
          <w:lang w:val="en-GB"/>
        </w:rPr>
      </w:pPr>
    </w:p>
    <w:p w:rsidR="00CC1020" w:rsidRDefault="00F86B60" w:rsidP="002B222A">
      <w:pPr>
        <w:spacing w:after="0" w:line="360" w:lineRule="auto"/>
        <w:rPr>
          <w:rFonts w:ascii="Arial" w:hAnsi="Arial" w:cs="Arial"/>
          <w:b/>
          <w:lang w:val="en-GB"/>
        </w:rPr>
      </w:pPr>
      <w:r w:rsidRPr="009E2DF0">
        <w:rPr>
          <w:rFonts w:ascii="Arial" w:hAnsi="Arial" w:cs="Arial"/>
          <w:b/>
          <w:lang w:val="en-GB"/>
        </w:rPr>
        <w:t>Lay summary</w:t>
      </w:r>
    </w:p>
    <w:p w:rsidR="002B222A" w:rsidRDefault="00700F81" w:rsidP="002B222A">
      <w:pPr>
        <w:spacing w:after="0" w:line="360" w:lineRule="auto"/>
        <w:rPr>
          <w:rFonts w:ascii="Arial" w:hAnsi="Arial" w:cs="Arial"/>
          <w:bCs/>
          <w:iCs/>
          <w:color w:val="FF0000"/>
          <w:lang w:val="en-US"/>
        </w:rPr>
      </w:pPr>
      <w:r w:rsidRPr="00445B9E">
        <w:rPr>
          <w:rFonts w:ascii="Arial" w:hAnsi="Arial" w:cs="Arial"/>
          <w:bCs/>
          <w:iCs/>
          <w:lang w:val="en-US"/>
        </w:rPr>
        <w:t>Mindfulness that is related to eating behavior can be termed mindful eating.</w:t>
      </w:r>
      <w:r w:rsidR="00120A1C" w:rsidRPr="00445B9E">
        <w:rPr>
          <w:rFonts w:ascii="Arial" w:hAnsi="Arial" w:cs="Arial"/>
          <w:bCs/>
          <w:iCs/>
          <w:lang w:val="en-US"/>
        </w:rPr>
        <w:t xml:space="preserve"> </w:t>
      </w:r>
      <w:r w:rsidR="00477CB8">
        <w:rPr>
          <w:rFonts w:ascii="Arial" w:hAnsi="Arial" w:cs="Arial"/>
          <w:bCs/>
          <w:iCs/>
          <w:lang w:val="en-US"/>
        </w:rPr>
        <w:t xml:space="preserve">Mindful eating is eating with attention and awareness. </w:t>
      </w:r>
      <w:r w:rsidR="00522794">
        <w:rPr>
          <w:rFonts w:ascii="Arial" w:hAnsi="Arial" w:cs="Arial"/>
          <w:bCs/>
          <w:iCs/>
          <w:lang w:val="en-US"/>
        </w:rPr>
        <w:t>E</w:t>
      </w:r>
      <w:r w:rsidR="00CC1020" w:rsidRPr="00445B9E">
        <w:rPr>
          <w:rFonts w:ascii="Arial" w:hAnsi="Arial" w:cs="Arial"/>
          <w:lang w:val="en-US"/>
        </w:rPr>
        <w:t>arlier scales on mindful eating d</w:t>
      </w:r>
      <w:r w:rsidR="00FA2FE0">
        <w:rPr>
          <w:rFonts w:ascii="Arial" w:hAnsi="Arial" w:cs="Arial"/>
          <w:lang w:val="en-US"/>
        </w:rPr>
        <w:t>id</w:t>
      </w:r>
      <w:r w:rsidR="00CC1020" w:rsidRPr="00445B9E">
        <w:rPr>
          <w:rFonts w:ascii="Arial" w:hAnsi="Arial" w:cs="Arial"/>
          <w:lang w:val="en-US"/>
        </w:rPr>
        <w:t xml:space="preserve"> not measure mindful eating independent from emotional or external eating or mindful eating in common situations</w:t>
      </w:r>
      <w:r w:rsidR="00522794">
        <w:rPr>
          <w:rFonts w:ascii="Arial" w:hAnsi="Arial" w:cs="Arial"/>
          <w:lang w:val="en-US"/>
        </w:rPr>
        <w:t>. Therefore</w:t>
      </w:r>
      <w:r w:rsidR="00FA2FE0">
        <w:rPr>
          <w:rFonts w:ascii="Arial" w:hAnsi="Arial" w:cs="Arial"/>
          <w:lang w:val="en-US"/>
        </w:rPr>
        <w:t xml:space="preserve">, </w:t>
      </w:r>
      <w:r w:rsidR="00DC55E8">
        <w:rPr>
          <w:rFonts w:ascii="Arial" w:hAnsi="Arial" w:cs="Arial"/>
          <w:lang w:val="en-US"/>
        </w:rPr>
        <w:t xml:space="preserve">we aimed </w:t>
      </w:r>
      <w:r w:rsidR="00DC55E8" w:rsidRPr="00445B9E">
        <w:rPr>
          <w:rFonts w:ascii="Arial" w:hAnsi="Arial" w:cs="Arial"/>
          <w:bCs/>
          <w:iCs/>
          <w:lang w:val="en-US"/>
        </w:rPr>
        <w:t>to develop a new scale to measure mindful eat</w:t>
      </w:r>
      <w:r w:rsidR="00057A2F">
        <w:rPr>
          <w:rFonts w:ascii="Arial" w:hAnsi="Arial" w:cs="Arial"/>
          <w:bCs/>
          <w:iCs/>
          <w:lang w:val="en-US"/>
        </w:rPr>
        <w:t>ing</w:t>
      </w:r>
      <w:r w:rsidR="00477CB8">
        <w:rPr>
          <w:rFonts w:ascii="Arial" w:hAnsi="Arial" w:cs="Arial"/>
          <w:bCs/>
          <w:iCs/>
          <w:lang w:val="en-US"/>
        </w:rPr>
        <w:t>:</w:t>
      </w:r>
      <w:r w:rsidR="00057A2F">
        <w:rPr>
          <w:rFonts w:ascii="Arial" w:hAnsi="Arial" w:cs="Arial"/>
          <w:bCs/>
          <w:iCs/>
          <w:lang w:val="en-US"/>
        </w:rPr>
        <w:t xml:space="preserve"> the Mindful Eating Behavio</w:t>
      </w:r>
      <w:r w:rsidR="00DC55E8" w:rsidRPr="00445B9E">
        <w:rPr>
          <w:rFonts w:ascii="Arial" w:hAnsi="Arial" w:cs="Arial"/>
          <w:bCs/>
          <w:iCs/>
          <w:lang w:val="en-US"/>
        </w:rPr>
        <w:t>r Scale (MEBS)</w:t>
      </w:r>
      <w:r w:rsidR="00FA2FE0">
        <w:rPr>
          <w:rFonts w:ascii="Arial" w:hAnsi="Arial" w:cs="Arial"/>
          <w:bCs/>
          <w:iCs/>
          <w:lang w:val="en-US"/>
        </w:rPr>
        <w:t xml:space="preserve">. </w:t>
      </w:r>
    </w:p>
    <w:p w:rsidR="008C04E1" w:rsidRDefault="008C04E1" w:rsidP="002B222A">
      <w:pPr>
        <w:spacing w:after="0" w:line="360" w:lineRule="auto"/>
        <w:rPr>
          <w:rFonts w:ascii="Arial" w:hAnsi="Arial" w:cs="Arial"/>
          <w:bCs/>
          <w:iCs/>
          <w:lang w:val="en-US"/>
        </w:rPr>
      </w:pPr>
    </w:p>
    <w:p w:rsidR="00D1458E" w:rsidRPr="00445B9E" w:rsidRDefault="00D1458E" w:rsidP="002B222A">
      <w:pPr>
        <w:spacing w:after="0" w:line="360" w:lineRule="auto"/>
        <w:rPr>
          <w:rFonts w:ascii="Arial" w:hAnsi="Arial" w:cs="Arial"/>
          <w:i/>
          <w:lang w:val="en-GB"/>
        </w:rPr>
      </w:pPr>
      <w:r w:rsidRPr="00445B9E">
        <w:rPr>
          <w:rFonts w:ascii="Arial" w:hAnsi="Arial" w:cs="Arial"/>
          <w:bCs/>
          <w:iCs/>
          <w:lang w:val="en-US"/>
        </w:rPr>
        <w:t xml:space="preserve">Participants were 1,227 Dutch adults aged 55 years and older from the Longitudinal Aging Study Amsterdam. </w:t>
      </w:r>
      <w:r w:rsidR="00804B56">
        <w:rPr>
          <w:rFonts w:ascii="Arial" w:hAnsi="Arial" w:cs="Arial"/>
          <w:bCs/>
          <w:iCs/>
          <w:lang w:val="en-US"/>
        </w:rPr>
        <w:t xml:space="preserve">An </w:t>
      </w:r>
      <w:r w:rsidR="00804B56" w:rsidRPr="00445B9E">
        <w:rPr>
          <w:rFonts w:ascii="Arial" w:hAnsi="Arial" w:cs="Arial"/>
          <w:lang w:val="en-US"/>
        </w:rPr>
        <w:t>initial version of the MEBS</w:t>
      </w:r>
      <w:r w:rsidR="00804B56" w:rsidRPr="00445B9E">
        <w:rPr>
          <w:rFonts w:ascii="Arial" w:hAnsi="Arial" w:cs="Arial"/>
          <w:lang w:val="en-GB"/>
        </w:rPr>
        <w:t xml:space="preserve"> </w:t>
      </w:r>
      <w:r w:rsidR="00804B56">
        <w:rPr>
          <w:rFonts w:ascii="Arial" w:hAnsi="Arial" w:cs="Arial"/>
          <w:lang w:val="en-GB"/>
        </w:rPr>
        <w:t>was designed based on a</w:t>
      </w:r>
      <w:r w:rsidRPr="00445B9E">
        <w:rPr>
          <w:rFonts w:ascii="Arial" w:hAnsi="Arial" w:cs="Arial"/>
          <w:lang w:val="en-US"/>
        </w:rPr>
        <w:t xml:space="preserve"> selection of 20 items from existing instruments</w:t>
      </w:r>
      <w:r w:rsidR="00804B56">
        <w:rPr>
          <w:rFonts w:ascii="Arial" w:hAnsi="Arial" w:cs="Arial"/>
          <w:lang w:val="en-US"/>
        </w:rPr>
        <w:t xml:space="preserve">. </w:t>
      </w:r>
      <w:r w:rsidRPr="00445B9E">
        <w:rPr>
          <w:rFonts w:ascii="Arial" w:hAnsi="Arial" w:cs="Arial"/>
          <w:lang w:val="en-US"/>
        </w:rPr>
        <w:t xml:space="preserve">The internal structure of the MEBS was evaluated using </w:t>
      </w:r>
      <w:r w:rsidRPr="00445B9E">
        <w:rPr>
          <w:rFonts w:ascii="Arial" w:hAnsi="Arial" w:cs="Arial"/>
          <w:lang w:val="en-GB"/>
        </w:rPr>
        <w:t>an exploratory structural equation modeling approach on half of the sample and confirmatory factor analysis (CFA) on the whole sample</w:t>
      </w:r>
      <w:r w:rsidR="00A048F8">
        <w:rPr>
          <w:rFonts w:ascii="Arial" w:hAnsi="Arial" w:cs="Arial"/>
          <w:lang w:val="en-GB"/>
        </w:rPr>
        <w:t xml:space="preserve">. </w:t>
      </w:r>
      <w:r w:rsidRPr="00445B9E">
        <w:rPr>
          <w:rFonts w:ascii="Arial" w:hAnsi="Arial" w:cs="Arial"/>
          <w:lang w:val="en-GB"/>
        </w:rPr>
        <w:t xml:space="preserve">The measurement invariance of the scores was tested with respect to sex, age and BMI. Reliabilities of subscales were determined with Cronbach’s alpha. To test convergent validity, the scores of the </w:t>
      </w:r>
      <w:r w:rsidR="003C6988">
        <w:rPr>
          <w:rFonts w:ascii="Arial" w:hAnsi="Arial" w:cs="Arial"/>
          <w:lang w:val="en-GB"/>
        </w:rPr>
        <w:t>MEBS</w:t>
      </w:r>
      <w:r w:rsidRPr="00445B9E">
        <w:rPr>
          <w:rFonts w:ascii="Arial" w:hAnsi="Arial" w:cs="Arial"/>
          <w:lang w:val="en-GB"/>
        </w:rPr>
        <w:t xml:space="preserve"> were correlated with theoretically relevant variables.</w:t>
      </w:r>
    </w:p>
    <w:p w:rsidR="002B222A" w:rsidRDefault="002B222A" w:rsidP="002B222A">
      <w:pPr>
        <w:spacing w:after="0" w:line="360" w:lineRule="auto"/>
        <w:rPr>
          <w:rFonts w:ascii="Arial" w:hAnsi="Arial" w:cs="Arial"/>
          <w:bCs/>
          <w:iCs/>
          <w:lang w:val="en-US"/>
        </w:rPr>
      </w:pPr>
    </w:p>
    <w:p w:rsidR="002B222A" w:rsidRDefault="00D1458E" w:rsidP="002B222A">
      <w:pPr>
        <w:spacing w:after="0" w:line="360" w:lineRule="auto"/>
        <w:rPr>
          <w:rFonts w:ascii="Arial" w:hAnsi="Arial" w:cs="Arial"/>
          <w:lang w:val="en-US"/>
        </w:rPr>
      </w:pPr>
      <w:r w:rsidRPr="00445B9E">
        <w:rPr>
          <w:rFonts w:ascii="Arial" w:hAnsi="Arial" w:cs="Arial"/>
          <w:bCs/>
          <w:iCs/>
          <w:lang w:val="en-US"/>
        </w:rPr>
        <w:t>T</w:t>
      </w:r>
      <w:r w:rsidRPr="00445B9E">
        <w:rPr>
          <w:rFonts w:ascii="Arial" w:hAnsi="Arial" w:cs="Arial"/>
          <w:lang w:val="en-GB"/>
        </w:rPr>
        <w:t xml:space="preserve">wo items </w:t>
      </w:r>
      <w:r w:rsidR="008B7A18">
        <w:rPr>
          <w:rFonts w:ascii="Arial" w:hAnsi="Arial" w:cs="Arial"/>
          <w:lang w:val="en-GB"/>
        </w:rPr>
        <w:t xml:space="preserve">of the MEBS </w:t>
      </w:r>
      <w:r w:rsidRPr="00445B9E">
        <w:rPr>
          <w:rFonts w:ascii="Arial" w:hAnsi="Arial" w:cs="Arial"/>
          <w:lang w:val="en-GB"/>
        </w:rPr>
        <w:t>were deleted because of low item loadings and one item because of high correlated uniqueness. The final CFA model with 17 items and four domains (Focused Eating, Hunger and Satiety Cues, Eating with Awareness and Eating without Distraction) showed good fit (CFI = .97, TLI = .96, RMSEA = .04). Measurement invariance was found for sex, age, and BMI. Cronbach’s alpha’s were medium to high (.70 to .89).</w:t>
      </w:r>
      <w:r w:rsidRPr="00445B9E">
        <w:rPr>
          <w:rFonts w:ascii="Arial" w:hAnsi="Arial" w:cs="Arial"/>
          <w:lang w:val="en-US"/>
        </w:rPr>
        <w:t xml:space="preserve"> Most correlations were in the expected directions</w:t>
      </w:r>
      <w:r w:rsidR="008B7A18">
        <w:rPr>
          <w:rFonts w:ascii="Arial" w:hAnsi="Arial" w:cs="Arial"/>
          <w:lang w:val="en-US"/>
        </w:rPr>
        <w:t xml:space="preserve">. </w:t>
      </w:r>
    </w:p>
    <w:p w:rsidR="008B7A18" w:rsidRDefault="008B7A18" w:rsidP="002B222A">
      <w:pPr>
        <w:spacing w:after="0" w:line="360" w:lineRule="auto"/>
        <w:rPr>
          <w:rFonts w:ascii="Arial" w:hAnsi="Arial" w:cs="Arial"/>
          <w:lang w:val="en-US"/>
        </w:rPr>
      </w:pPr>
    </w:p>
    <w:p w:rsidR="00441E72" w:rsidRPr="00445B9E" w:rsidRDefault="00700F81" w:rsidP="002B222A">
      <w:pPr>
        <w:spacing w:after="0" w:line="360" w:lineRule="auto"/>
        <w:rPr>
          <w:rFonts w:ascii="Arial" w:hAnsi="Arial" w:cs="Arial"/>
          <w:bCs/>
          <w:iCs/>
          <w:lang w:val="en-US"/>
        </w:rPr>
      </w:pPr>
      <w:r>
        <w:rPr>
          <w:rFonts w:ascii="Arial" w:hAnsi="Arial" w:cs="Arial"/>
          <w:lang w:val="en-GB"/>
        </w:rPr>
        <w:t>In conclusion, t</w:t>
      </w:r>
      <w:r w:rsidR="00D1458E" w:rsidRPr="00445B9E">
        <w:rPr>
          <w:rFonts w:ascii="Arial" w:hAnsi="Arial" w:cs="Arial"/>
          <w:lang w:val="en-GB"/>
        </w:rPr>
        <w:t xml:space="preserve">he MEBS was successfully developed consisting of 17 items and four domains. Because of low inter-factor correlations, a </w:t>
      </w:r>
      <w:r w:rsidR="00D1458E" w:rsidRPr="00445B9E">
        <w:rPr>
          <w:rFonts w:ascii="Arial" w:hAnsi="Arial" w:cs="Arial"/>
          <w:lang w:val="en-US"/>
        </w:rPr>
        <w:t xml:space="preserve">total score combining the four domains should not be computed. </w:t>
      </w:r>
      <w:r w:rsidR="00D1458E" w:rsidRPr="00445B9E">
        <w:rPr>
          <w:rFonts w:ascii="Arial" w:hAnsi="Arial" w:cs="Arial"/>
          <w:lang w:val="en-GB"/>
        </w:rPr>
        <w:t xml:space="preserve">The MEBS showed good internal consistency and preliminary convergent validity in a sample of Dutch adults of 55 years and older. </w:t>
      </w:r>
      <w:r w:rsidR="00441E72" w:rsidRPr="00445B9E">
        <w:rPr>
          <w:rFonts w:ascii="Arial" w:hAnsi="Arial" w:cs="Arial"/>
          <w:lang w:val="en"/>
        </w:rPr>
        <w:t xml:space="preserve">The development of the MEBS is an important first step in better understanding how eating with attention and </w:t>
      </w:r>
      <w:r w:rsidR="00441E72" w:rsidRPr="00445B9E">
        <w:rPr>
          <w:rFonts w:ascii="Arial" w:hAnsi="Arial" w:cs="Arial"/>
          <w:lang w:val="en"/>
        </w:rPr>
        <w:lastRenderedPageBreak/>
        <w:t xml:space="preserve">awareness regarding food can contribute to eating behaviours, weight, but also mental well-being and other health issues. </w:t>
      </w:r>
    </w:p>
    <w:p w:rsidR="00D1458E" w:rsidRPr="00445B9E" w:rsidRDefault="00D1458E" w:rsidP="002B222A">
      <w:pPr>
        <w:spacing w:after="0" w:line="360" w:lineRule="auto"/>
        <w:rPr>
          <w:rFonts w:ascii="Arial" w:hAnsi="Arial" w:cs="Arial"/>
          <w:b/>
          <w:lang w:val="en-GB"/>
        </w:rPr>
      </w:pPr>
    </w:p>
    <w:sectPr w:rsidR="00D1458E" w:rsidRPr="0044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07"/>
    <w:rsid w:val="00043347"/>
    <w:rsid w:val="00044643"/>
    <w:rsid w:val="00057A2F"/>
    <w:rsid w:val="000E441E"/>
    <w:rsid w:val="00120A1C"/>
    <w:rsid w:val="001F5567"/>
    <w:rsid w:val="00207FAD"/>
    <w:rsid w:val="00237C96"/>
    <w:rsid w:val="00246EB4"/>
    <w:rsid w:val="00265381"/>
    <w:rsid w:val="002B222A"/>
    <w:rsid w:val="002F5D66"/>
    <w:rsid w:val="003C5069"/>
    <w:rsid w:val="003C6988"/>
    <w:rsid w:val="003D2E3F"/>
    <w:rsid w:val="00420AED"/>
    <w:rsid w:val="0042538E"/>
    <w:rsid w:val="00441E72"/>
    <w:rsid w:val="00445B9E"/>
    <w:rsid w:val="00477CB8"/>
    <w:rsid w:val="00522794"/>
    <w:rsid w:val="005C4504"/>
    <w:rsid w:val="005D2342"/>
    <w:rsid w:val="006B506C"/>
    <w:rsid w:val="006C7BB7"/>
    <w:rsid w:val="006D1BA5"/>
    <w:rsid w:val="006E4E1D"/>
    <w:rsid w:val="006E567A"/>
    <w:rsid w:val="00700F81"/>
    <w:rsid w:val="00757494"/>
    <w:rsid w:val="00782E07"/>
    <w:rsid w:val="007D1BB4"/>
    <w:rsid w:val="00804B56"/>
    <w:rsid w:val="00827F50"/>
    <w:rsid w:val="0088000E"/>
    <w:rsid w:val="0088106C"/>
    <w:rsid w:val="008B7A18"/>
    <w:rsid w:val="008C04E1"/>
    <w:rsid w:val="00993BDE"/>
    <w:rsid w:val="009E2DF0"/>
    <w:rsid w:val="00A048F8"/>
    <w:rsid w:val="00A05683"/>
    <w:rsid w:val="00A67E56"/>
    <w:rsid w:val="00A768D8"/>
    <w:rsid w:val="00B81499"/>
    <w:rsid w:val="00BB18F5"/>
    <w:rsid w:val="00C43252"/>
    <w:rsid w:val="00C54678"/>
    <w:rsid w:val="00C90E0B"/>
    <w:rsid w:val="00CC1020"/>
    <w:rsid w:val="00D1458E"/>
    <w:rsid w:val="00D260A5"/>
    <w:rsid w:val="00D354D0"/>
    <w:rsid w:val="00DC55E8"/>
    <w:rsid w:val="00E347C1"/>
    <w:rsid w:val="00E50792"/>
    <w:rsid w:val="00F473C2"/>
    <w:rsid w:val="00F51E2B"/>
    <w:rsid w:val="00F86B60"/>
    <w:rsid w:val="00FA2FE0"/>
    <w:rsid w:val="00FB6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6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8D8"/>
    <w:rPr>
      <w:rFonts w:ascii="Tahoma" w:hAnsi="Tahoma" w:cs="Tahoma"/>
      <w:sz w:val="16"/>
      <w:szCs w:val="16"/>
    </w:rPr>
  </w:style>
  <w:style w:type="character" w:customStyle="1" w:styleId="issuevolsp">
    <w:name w:val="issuevolsp"/>
    <w:basedOn w:val="Standaardalinea-lettertype"/>
    <w:rsid w:val="00DC55E8"/>
  </w:style>
  <w:style w:type="character" w:customStyle="1" w:styleId="issuenumsp">
    <w:name w:val="issuenumsp"/>
    <w:basedOn w:val="Standaardalinea-lettertype"/>
    <w:rsid w:val="00DC55E8"/>
  </w:style>
  <w:style w:type="character" w:customStyle="1" w:styleId="pagerange">
    <w:name w:val="pagerange"/>
    <w:basedOn w:val="Standaardalinea-lettertype"/>
    <w:rsid w:val="00DC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6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8D8"/>
    <w:rPr>
      <w:rFonts w:ascii="Tahoma" w:hAnsi="Tahoma" w:cs="Tahoma"/>
      <w:sz w:val="16"/>
      <w:szCs w:val="16"/>
    </w:rPr>
  </w:style>
  <w:style w:type="character" w:customStyle="1" w:styleId="issuevolsp">
    <w:name w:val="issuevolsp"/>
    <w:basedOn w:val="Standaardalinea-lettertype"/>
    <w:rsid w:val="00DC55E8"/>
  </w:style>
  <w:style w:type="character" w:customStyle="1" w:styleId="issuenumsp">
    <w:name w:val="issuenumsp"/>
    <w:basedOn w:val="Standaardalinea-lettertype"/>
    <w:rsid w:val="00DC55E8"/>
  </w:style>
  <w:style w:type="character" w:customStyle="1" w:styleId="pagerange">
    <w:name w:val="pagerange"/>
    <w:basedOn w:val="Standaardalinea-lettertype"/>
    <w:rsid w:val="00DC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Winkens</dc:creator>
  <cp:lastModifiedBy>Laura Winkens</cp:lastModifiedBy>
  <cp:revision>2</cp:revision>
  <dcterms:created xsi:type="dcterms:W3CDTF">2018-07-09T15:43:00Z</dcterms:created>
  <dcterms:modified xsi:type="dcterms:W3CDTF">2018-07-09T15:43:00Z</dcterms:modified>
</cp:coreProperties>
</file>